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7D" w:rsidRDefault="00531D7D" w:rsidP="00531D7D">
      <w:pPr>
        <w:pStyle w:val="Pavadinimas"/>
        <w:spacing w:after="20"/>
      </w:pPr>
      <w:r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7D" w:rsidRDefault="00531D7D" w:rsidP="00531D7D">
      <w:pPr>
        <w:pStyle w:val="Pavadinimas"/>
        <w:spacing w:after="20"/>
        <w:rPr>
          <w:sz w:val="12"/>
        </w:rPr>
      </w:pPr>
    </w:p>
    <w:p w:rsidR="00531D7D" w:rsidRDefault="00531D7D" w:rsidP="00531D7D">
      <w:pPr>
        <w:pStyle w:val="Pavadinimas"/>
        <w:spacing w:after="20"/>
        <w:rPr>
          <w:b w:val="0"/>
          <w:sz w:val="28"/>
        </w:rPr>
      </w:pPr>
      <w:r>
        <w:rPr>
          <w:sz w:val="28"/>
        </w:rPr>
        <w:t xml:space="preserve">NACIONALINĖS ŠVIETIMO AGENTŪROS </w:t>
      </w:r>
      <w:r w:rsidR="00A1133B">
        <w:rPr>
          <w:sz w:val="28"/>
        </w:rPr>
        <w:t>DIREKTORĖ</w:t>
      </w:r>
    </w:p>
    <w:p w:rsidR="00531D7D" w:rsidRDefault="00531D7D" w:rsidP="00531D7D">
      <w:pPr>
        <w:spacing w:after="20"/>
        <w:jc w:val="center"/>
        <w:rPr>
          <w:rFonts w:ascii="Times New Roman" w:hAnsi="Times New Roman"/>
          <w:sz w:val="24"/>
        </w:rPr>
      </w:pPr>
    </w:p>
    <w:p w:rsidR="00531D7D" w:rsidRDefault="00531D7D" w:rsidP="00531D7D">
      <w:pPr>
        <w:pStyle w:val="a"/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31D7D" w:rsidRPr="00602027" w:rsidTr="00B436F6">
        <w:tc>
          <w:tcPr>
            <w:tcW w:w="9855" w:type="dxa"/>
          </w:tcPr>
          <w:p w:rsidR="00531D7D" w:rsidRPr="00602027" w:rsidRDefault="00531D7D" w:rsidP="00B436F6">
            <w:pPr>
              <w:spacing w:after="20"/>
              <w:jc w:val="center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4467FA">
              <w:rPr>
                <w:rFonts w:ascii="Times New Roman" w:hAnsi="Times New Roman"/>
                <w:b/>
                <w:bCs/>
                <w:sz w:val="24"/>
                <w:lang w:val="lt-LT"/>
              </w:rPr>
              <w:t>D</w:t>
            </w:r>
            <w:r w:rsidR="00A1133B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ĖL VALSTYBĖS </w:t>
            </w:r>
            <w:r w:rsidR="003E58EF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(STRATEGINIŲ) </w:t>
            </w:r>
            <w:r w:rsidR="00A1133B">
              <w:rPr>
                <w:rFonts w:ascii="Times New Roman" w:hAnsi="Times New Roman"/>
                <w:b/>
                <w:bCs/>
                <w:sz w:val="24"/>
                <w:lang w:val="lt-LT"/>
              </w:rPr>
              <w:t>MOKSLO</w:t>
            </w:r>
            <w:r w:rsidRPr="004467FA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 STEBĖSENOS RODIKLIŲ </w:t>
            </w:r>
            <w:r w:rsidR="00A1133B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APRAŠŲ </w:t>
            </w:r>
            <w:r w:rsidRPr="004467FA">
              <w:rPr>
                <w:rFonts w:ascii="Times New Roman" w:hAnsi="Times New Roman"/>
                <w:b/>
                <w:bCs/>
                <w:sz w:val="24"/>
                <w:lang w:val="lt-LT"/>
              </w:rPr>
              <w:t>PATVIRTINIMO</w:t>
            </w:r>
          </w:p>
        </w:tc>
      </w:tr>
    </w:tbl>
    <w:p w:rsidR="00531D7D" w:rsidRPr="00602027" w:rsidRDefault="00531D7D" w:rsidP="00531D7D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31D7D" w:rsidRPr="00EF3E6A" w:rsidTr="00B436F6">
        <w:tc>
          <w:tcPr>
            <w:tcW w:w="9855" w:type="dxa"/>
          </w:tcPr>
          <w:p w:rsidR="00531D7D" w:rsidRPr="00EF3E6A" w:rsidRDefault="00A1133B" w:rsidP="00B436F6">
            <w:pPr>
              <w:pStyle w:val="Antrat3"/>
              <w:spacing w:after="20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="003E58EF">
              <w:rPr>
                <w:lang w:val="lt-LT"/>
              </w:rPr>
              <w:t xml:space="preserve"> </w:t>
            </w:r>
            <w:r w:rsidR="00531D7D" w:rsidRPr="00EF3E6A">
              <w:rPr>
                <w:lang w:val="lt-LT"/>
              </w:rPr>
              <w:t xml:space="preserve">m. </w:t>
            </w:r>
            <w:r w:rsidR="009E7FCD">
              <w:rPr>
                <w:lang w:val="lt-LT"/>
              </w:rPr>
              <w:t>lapkričio 26</w:t>
            </w:r>
            <w:r w:rsidR="00531D7D" w:rsidRPr="00EF3E6A">
              <w:rPr>
                <w:lang w:val="lt-LT"/>
              </w:rPr>
              <w:t xml:space="preserve">d. Nr. </w:t>
            </w:r>
            <w:r w:rsidR="009E7FCD">
              <w:rPr>
                <w:lang w:val="lt-LT"/>
              </w:rPr>
              <w:t>VK-622</w:t>
            </w:r>
            <w:bookmarkStart w:id="0" w:name="_GoBack"/>
            <w:bookmarkEnd w:id="0"/>
          </w:p>
          <w:p w:rsidR="00531D7D" w:rsidRPr="00EF3E6A" w:rsidRDefault="00531D7D" w:rsidP="00B436F6">
            <w:pPr>
              <w:pStyle w:val="Antrat3"/>
              <w:spacing w:after="20"/>
              <w:rPr>
                <w:lang w:val="lt-LT"/>
              </w:rPr>
            </w:pPr>
            <w:r w:rsidRPr="00EF3E6A">
              <w:rPr>
                <w:lang w:val="lt-LT"/>
              </w:rPr>
              <w:t>Vilnius</w:t>
            </w:r>
          </w:p>
        </w:tc>
      </w:tr>
    </w:tbl>
    <w:p w:rsidR="00531D7D" w:rsidRDefault="00531D7D" w:rsidP="00531D7D">
      <w:pPr>
        <w:pStyle w:val="Pagrindiniotekstotrauka2"/>
        <w:rPr>
          <w:lang w:val="lt-LT"/>
        </w:rPr>
      </w:pPr>
    </w:p>
    <w:p w:rsidR="00531D7D" w:rsidRDefault="00531D7D" w:rsidP="00531D7D">
      <w:pPr>
        <w:pStyle w:val="Pagrindiniotekstotrauka2"/>
        <w:rPr>
          <w:lang w:val="lt-LT"/>
        </w:rPr>
      </w:pPr>
    </w:p>
    <w:p w:rsidR="00531D7D" w:rsidRDefault="00531D7D" w:rsidP="00531D7D">
      <w:pPr>
        <w:spacing w:after="20"/>
        <w:rPr>
          <w:rFonts w:ascii="Times New Roman" w:hAnsi="Times New Roman"/>
          <w:sz w:val="24"/>
          <w:lang w:val="lt-LT"/>
        </w:rPr>
      </w:pPr>
    </w:p>
    <w:p w:rsidR="00B8690E" w:rsidRPr="00B8690E" w:rsidRDefault="00531D7D" w:rsidP="00B8690E">
      <w:pPr>
        <w:pStyle w:val="Default"/>
        <w:jc w:val="both"/>
      </w:pPr>
      <w:r>
        <w:tab/>
      </w:r>
      <w:r w:rsidRPr="004467FA">
        <w:t xml:space="preserve">Vadovaudamasi švietimo stebėsenos tvarkos aprašu patvirtintu  Lietuvos Respublikos švietimo, mokslo ir sporto ministro </w:t>
      </w:r>
      <w:r w:rsidR="00A1133B">
        <w:t xml:space="preserve">2019 m. </w:t>
      </w:r>
      <w:r w:rsidR="00A1133B" w:rsidRPr="00A1133B">
        <w:t>birželio 27 d. įsakymu  Nr. V</w:t>
      </w:r>
      <w:r w:rsidR="00A1133B">
        <w:t>-757</w:t>
      </w:r>
      <w:r w:rsidR="00FE3319">
        <w:t>,</w:t>
      </w:r>
    </w:p>
    <w:p w:rsidR="00531D7D" w:rsidRPr="004467FA" w:rsidRDefault="00884D09" w:rsidP="00B8690E">
      <w:pPr>
        <w:tabs>
          <w:tab w:val="left" w:pos="1560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</w:t>
      </w:r>
      <w:r w:rsidR="00531D7D">
        <w:rPr>
          <w:rFonts w:ascii="Times New Roman" w:hAnsi="Times New Roman"/>
          <w:sz w:val="24"/>
          <w:szCs w:val="24"/>
          <w:lang w:val="lt-LT"/>
        </w:rPr>
        <w:t>t</w:t>
      </w:r>
      <w:r w:rsidR="00531D7D" w:rsidRPr="004467FA">
        <w:rPr>
          <w:rFonts w:ascii="Times New Roman" w:hAnsi="Times New Roman"/>
          <w:sz w:val="24"/>
          <w:szCs w:val="24"/>
          <w:lang w:val="lt-LT"/>
        </w:rPr>
        <w:t xml:space="preserve"> v i </w:t>
      </w:r>
      <w:r w:rsidR="00A1133B">
        <w:rPr>
          <w:rFonts w:ascii="Times New Roman" w:hAnsi="Times New Roman"/>
          <w:sz w:val="24"/>
          <w:szCs w:val="24"/>
          <w:lang w:val="lt-LT"/>
        </w:rPr>
        <w:t>r t i n u Valstybės</w:t>
      </w:r>
      <w:r w:rsidR="00EA580A">
        <w:rPr>
          <w:rFonts w:ascii="Times New Roman" w:hAnsi="Times New Roman"/>
          <w:sz w:val="24"/>
          <w:szCs w:val="24"/>
          <w:lang w:val="lt-LT"/>
        </w:rPr>
        <w:t xml:space="preserve"> (strateginių)</w:t>
      </w:r>
      <w:r w:rsidR="00A1133B">
        <w:rPr>
          <w:rFonts w:ascii="Times New Roman" w:hAnsi="Times New Roman"/>
          <w:sz w:val="24"/>
          <w:szCs w:val="24"/>
          <w:lang w:val="lt-LT"/>
        </w:rPr>
        <w:t xml:space="preserve"> mokslo stebėsenos rodiklių</w:t>
      </w:r>
      <w:r w:rsidR="00531D7D" w:rsidRPr="004467FA">
        <w:rPr>
          <w:rFonts w:ascii="Times New Roman" w:hAnsi="Times New Roman"/>
          <w:sz w:val="24"/>
          <w:szCs w:val="24"/>
          <w:lang w:val="lt-LT"/>
        </w:rPr>
        <w:t xml:space="preserve"> aprašus (pridedama).</w:t>
      </w:r>
    </w:p>
    <w:p w:rsidR="00531D7D" w:rsidRPr="00E46EBF" w:rsidRDefault="00531D7D" w:rsidP="00B8690E">
      <w:pPr>
        <w:tabs>
          <w:tab w:val="left" w:pos="1560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31D7D" w:rsidRPr="00CE4CBF" w:rsidRDefault="00531D7D" w:rsidP="00531D7D">
      <w:pPr>
        <w:spacing w:after="20"/>
        <w:ind w:left="1607"/>
        <w:jc w:val="both"/>
        <w:rPr>
          <w:rFonts w:ascii="Times New Roman" w:hAnsi="Times New Roman"/>
          <w:b/>
          <w:lang w:val="lt-LT"/>
        </w:rPr>
      </w:pPr>
    </w:p>
    <w:p w:rsidR="00531D7D" w:rsidRPr="00CE4CBF" w:rsidRDefault="00531D7D" w:rsidP="00531D7D">
      <w:pPr>
        <w:rPr>
          <w:rFonts w:ascii="Times New Roman" w:hAnsi="Times New Roman"/>
          <w:b/>
          <w:lang w:val="lt-LT"/>
        </w:rPr>
      </w:pPr>
    </w:p>
    <w:p w:rsidR="00531D7D" w:rsidRPr="00CE4CBF" w:rsidRDefault="00531D7D" w:rsidP="00531D7D">
      <w:pPr>
        <w:rPr>
          <w:rFonts w:ascii="Times New Roman" w:hAnsi="Times New Roman"/>
          <w:b/>
          <w:lang w:val="lt-LT"/>
        </w:rPr>
      </w:pPr>
    </w:p>
    <w:p w:rsidR="00531D7D" w:rsidRDefault="00531D7D" w:rsidP="00531D7D">
      <w:pPr>
        <w:rPr>
          <w:rFonts w:ascii="Times New Roman" w:hAnsi="Times New Roman"/>
          <w:b/>
          <w:lang w:val="lt-LT"/>
        </w:rPr>
      </w:pPr>
    </w:p>
    <w:p w:rsidR="00531D7D" w:rsidRDefault="00531D7D" w:rsidP="00531D7D">
      <w:pPr>
        <w:rPr>
          <w:rFonts w:ascii="Times New Roman" w:hAnsi="Times New Roman"/>
          <w:b/>
          <w:lang w:val="lt-LT"/>
        </w:rPr>
      </w:pPr>
    </w:p>
    <w:p w:rsidR="00531D7D" w:rsidRPr="00CE4CBF" w:rsidRDefault="00531D7D" w:rsidP="00531D7D">
      <w:pPr>
        <w:rPr>
          <w:rFonts w:ascii="Times New Roman" w:hAnsi="Times New Roman"/>
          <w:b/>
          <w:lang w:val="lt-LT"/>
        </w:rPr>
      </w:pPr>
    </w:p>
    <w:tbl>
      <w:tblPr>
        <w:tblW w:w="21411" w:type="dxa"/>
        <w:tblLayout w:type="fixed"/>
        <w:tblLook w:val="0000" w:firstRow="0" w:lastRow="0" w:firstColumn="0" w:lastColumn="0" w:noHBand="0" w:noVBand="0"/>
      </w:tblPr>
      <w:tblGrid>
        <w:gridCol w:w="5778"/>
        <w:gridCol w:w="5778"/>
        <w:gridCol w:w="5778"/>
        <w:gridCol w:w="4077"/>
      </w:tblGrid>
      <w:tr w:rsidR="00531D7D" w:rsidTr="00B436F6">
        <w:trPr>
          <w:cantSplit/>
        </w:trPr>
        <w:tc>
          <w:tcPr>
            <w:tcW w:w="5778" w:type="dxa"/>
          </w:tcPr>
          <w:p w:rsidR="00531D7D" w:rsidRPr="00B84F26" w:rsidRDefault="00B8690E" w:rsidP="00B436F6">
            <w:pPr>
              <w:spacing w:after="20"/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Direktorė </w:t>
            </w:r>
          </w:p>
        </w:tc>
        <w:tc>
          <w:tcPr>
            <w:tcW w:w="5778" w:type="dxa"/>
          </w:tcPr>
          <w:p w:rsidR="00531D7D" w:rsidRPr="0076206A" w:rsidRDefault="00B8690E" w:rsidP="00B8690E">
            <w:pPr>
              <w:spacing w:after="20"/>
              <w:jc w:val="center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Rūta Krasauskienė</w:t>
            </w:r>
          </w:p>
        </w:tc>
        <w:tc>
          <w:tcPr>
            <w:tcW w:w="5778" w:type="dxa"/>
          </w:tcPr>
          <w:p w:rsidR="00531D7D" w:rsidRPr="00B84F26" w:rsidRDefault="00531D7D" w:rsidP="00B436F6">
            <w:pPr>
              <w:spacing w:after="20"/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4077" w:type="dxa"/>
          </w:tcPr>
          <w:p w:rsidR="00531D7D" w:rsidRDefault="00531D7D" w:rsidP="00B436F6">
            <w:pPr>
              <w:spacing w:after="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7205B" w:rsidRDefault="0007205B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Default="00C20117"/>
    <w:p w:rsidR="00C20117" w:rsidRPr="00547218" w:rsidRDefault="00C20117" w:rsidP="00C20117">
      <w:pPr>
        <w:pStyle w:val="Pavadinimas"/>
        <w:rPr>
          <w:b w:val="0"/>
        </w:rPr>
      </w:pPr>
      <w:r w:rsidRPr="00547218">
        <w:rPr>
          <w:b w:val="0"/>
        </w:rPr>
        <w:lastRenderedPageBreak/>
        <w:t>Valstybės (strateginių) mokslo stebėsenos rodiklių aprašai</w:t>
      </w:r>
    </w:p>
    <w:p w:rsidR="00C20117" w:rsidRPr="00547218" w:rsidRDefault="00C20117" w:rsidP="00C20117">
      <w:pPr>
        <w:pStyle w:val="Antrat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Mokslo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konteksto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rodikliai</w:t>
      </w:r>
      <w:proofErr w:type="spellEnd"/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1.1. Bendrojo vidaus produkto metinis pokytis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(procentais)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80"/>
        <w:gridCol w:w="7605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Bendrojo vidaus produkto rinkos kainomis grandine susietos apimties pokytis </w:t>
            </w:r>
            <w:r w:rsidRPr="00547218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 xml:space="preserve">n–taisiais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palyginti su praėjusiu periodu.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ekonomines sąlygas ir reikmes, darančias poveikį mokslo procesams.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jc w:val="both"/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5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-406763_QID_-45481BAD_UID_-3F171EB0&amp;layout=TIME,C,X,0;GEO,B,Y,0;UNIT,B,Z,0;NA_ITEM,B,Z,1;INDICATORS,C,Z,2;&amp;zSelection=DS-406763UNIT,CLV_PCH_PRE;DS-406763INDICATORS,OBS_FLAG;DS-406763NA_ITEM,B1GQ;&amp;rankName1=UNIT_1_2_-1_2&amp;rankName2=INDICATORS_1_2_-1_2&amp;rankName3=NA-ITEM_1_2_-1_2&amp;rankName4=TIME_1_0_0_0&amp;rankName5=GEO_1_2_0_1&amp;ppcRK=FIRST&amp;ppcSO=ASC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NA_ITEM: B1GQ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Gross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domestic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market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prices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CLV_PCH_PRE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Chain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linked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volumes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change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previous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period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EU27, LT</w:t>
            </w:r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pStyle w:val="HTMLiankstoformatuotas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Metinės nacionalinės ir regioninės sąskaitos sudaromos pagal Europos sąskaitų sistemą – ESS 2010, patvirtintą 2013 m. Gegužės 21 d. Europos Parlamento ir Tarybos reglamento (ES) Nr. 549/2013 B priedą.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nama_10_gdp 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konteksto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Lietuvos duomenys yra nuo 1996 m.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Skelbiama pasibaigus ataskaitiniams metams n po 2 ir 9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rodiklis palyginamas su ES27 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1.2. Aukštojo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išsilavinimo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lygis 30–34 ir 25–64 m. grupėse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turinčių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aukštąjį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išsilavinimą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30–34 ir 25–64 m. amžiaus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grupėse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dalis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n–taisiais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ekonomines sąlygas ir reikmes, darančias poveikį mokslo procesams.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6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https://appsso.eurostat.ec.europa.eu/nui/show.do?query=BOOKMARK_DS-591613_QID_4E8BE01E_UID_-3F171EB0&amp;layout=TIME,C,X,0;AGE,B,Y,0;GEO,B,Y,1;SEX,B,Z,0;UNIT,B,</w:t>
              </w:r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lastRenderedPageBreak/>
                <w:t>Z,1;ISCED11,B,Z,2;INDICATORS,C,Z,3;&amp;zSelection=DS-591613SEX,T;DS-591613UNIT,PC;DS-591613ISCED11,ED5-8;DS-591613INDICATORS,OBS_FLAG;&amp;rankName1=ISCED11_1_2_-1_2&amp;rankName2=UNIT_1_2_-1_2&amp;rankName3=INDICATORS_1_2_-1_2&amp;rankName4=SEX_1_2_-1_2&amp;rankName5=TIME_1_0_0_0&amp;rankName6=AGE_1_2_0_1&amp;rankName7=GEO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AGE: Y25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–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64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From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25 to 64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years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 ir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Y30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–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34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From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30 to 34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years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ISCED11: ED5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–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8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Tertiary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education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levels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5-8))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GEO: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EU27,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LT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SEX: T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(vertinimo kriterijaus) reikšmė gaunama asmenų, priklausančių būdingai amžiaus grupei (skaičiuojama imtinai), įgijusių vidurinį išsilavinimą / aukštąjį išsilavinimą, skaičių padalinus iš visų asmenų, priklausančių tai pačiai būdingai amžiaus grupei (skaičiuojama imtinai), skaičiaus.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edat_lfse_03 arba Lietuvos statistikos departamentas.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konteksto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Kiekvienais metais.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duomenys nuo 1998 m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. (Skelbiami balandžio– gegužės mėnesį).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020961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20961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 Pažangiųjų technologijų eksporto dalis visame eksporte,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Pažangiųjų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technologijų produktų (pagal SITC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Rev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 4) eksporto dalis palyginti su visų produktų eksportu, proc. Apima gamybos ir paslaugų sektorius.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ekonomines sąlygas ir reikmes, darančias poveikį mokslo procesams.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  <w:hyperlink r:id="rId7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-056996_QID_4C8C59B9_UID_-3F171EB0&amp;layout=TIME,C,X,0;GEO,L,Y,0;UNIT,L,Z,0;INDICATORS,C,Z,1;&amp;zSelection=DS-056996INDICATORS,OBS_FLAG;DS-056996UNIT,PC;&amp;rankName1=UNIT_1_2_-1_2&amp;rankName2=INDICATORS_1_2_-1_2&amp;rankName3=TIME_1_0_0_0&amp;rankName4=GEO_1_2_0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EU28, LT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br/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„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Pažangiųjų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pramonės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žinių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reikalaujančių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paslaugų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statistiką“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(kartais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vadinamą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tiesiog „pažangiųjų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statistika“) sudaro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ekonominiai, užimtumo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mokslo, 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inovacijų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duomenys, apibūdinantys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gamybos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paslaugų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pramonę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arba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gaminius, kuriais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prekiaujama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pagal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technologinį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intensyvumą. Domenas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naudoja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įvairias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kitas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oficialios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Eurostat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statistikos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sritis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šaltinius (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angl.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CIS, COMEXT, HRST, LFS, PATENT, R&amp;D ir SBS), todėl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jos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aprėptis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priklauso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nuo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pirminių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šaltinių. 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intensyvumui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nustatyti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naudojami du pagrindiniai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metodai: sektorinis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produkto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metodas. Trečiasis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metodas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naudojamas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pažangiųjų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ir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biotechnologijų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patentų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duomenims, apibendrintiems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remiantis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Tarptautinės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patentų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  <w:lang w:val="lt-LT"/>
              </w:rPr>
              <w:t>klasifikacijos (IPC) 8-uoju leidimu.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htec_si_exp4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konteksto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2007 m.</w:t>
            </w: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Skelbimo data nenustatyta. Duomenys atnaujinami 1–2 kartus per metus.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ES28.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.4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 Darbuotojų žinioms imliose veiklose dalis nuo visų dirbančiųjų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Užimtieji žinioms imliose veiklose pa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lyginti su visais užimtaisiais.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Apima gamybos ir paslaugų sektorius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ekonomines sąlygas ir reikmes, darančias poveikį mokslo procesams.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jc w:val="both"/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  <w:hyperlink r:id="rId8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-146418_QID_7965E181_UID_-3F171EB0&amp;layout=TIME,C,X,0;NACE_R2,L,Y,0;GEO,L,Y,1;SEX,L,Z,0;UNIT,L,Z,1;INDICATORS,C,Z,2;&amp;zSelection=DS-146418UNIT,PC_EMP;DS-146418SEX,T;DS-146418INDICATORS,OBS_FLAG;&amp;rankName1=UNIT_1_2_-1_2&amp;rankName2=INDICATORS_1_2_-1_2&amp;rankName3=SEX_1_2_-1_2&amp;rankName4=TIME_1_0_0_0&amp;rankName5=NACE-R2_1_2_0_1&amp;rankName6=GEO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jc w:val="both"/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NACE_R2: KIA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knowledge-intensive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activities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SEX: T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PC_EMP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employment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TIME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GEO: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EU27,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LT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htec_kia_emp2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konteksto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Skelbimo data nenustatyta. Duomenys atnaujinami nuolat. Lietuvos rodiklis palyginamas su ES28.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27.</w:t>
            </w:r>
          </w:p>
        </w:tc>
      </w:tr>
    </w:tbl>
    <w:p w:rsidR="00C20117" w:rsidRPr="00547218" w:rsidRDefault="00C20117" w:rsidP="00C20117">
      <w:pPr>
        <w:pStyle w:val="Antrat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Indėlio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į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mokslą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rodikliai</w:t>
      </w:r>
      <w:proofErr w:type="spellEnd"/>
    </w:p>
    <w:p w:rsidR="00C20117" w:rsidRPr="002B1331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2.1. </w:t>
      </w:r>
      <w:proofErr w:type="spellStart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>Vis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MTEP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lėšų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>šaltinius</w:t>
      </w:r>
      <w:proofErr w:type="spellEnd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proofErr w:type="spellStart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>kaip</w:t>
      </w:r>
      <w:proofErr w:type="spellEnd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BVP </w:t>
      </w:r>
      <w:proofErr w:type="spellStart"/>
      <w:proofErr w:type="gramStart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>dalis</w:t>
      </w:r>
      <w:proofErr w:type="spellEnd"/>
      <w:proofErr w:type="gramEnd"/>
      <w:r w:rsidRPr="002B1331">
        <w:rPr>
          <w:rFonts w:ascii="Times New Roman" w:hAnsi="Times New Roman" w:cs="Times New Roman"/>
          <w:b/>
          <w:color w:val="auto"/>
          <w:sz w:val="24"/>
          <w:szCs w:val="24"/>
        </w:rPr>
        <w:t>, proc.;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MTEP finansavimas iš viso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finansavimo šaltinius (valdžios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verslo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AM, ne pelno institucijų,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užsienio) palyginti su BVP.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išteklius, reikalingus mokslo sistemai veikti ir tikslams pasiekti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Generuojam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rodikliai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:</w:t>
            </w:r>
          </w:p>
          <w:p w:rsidR="00C20117" w:rsidRPr="00036AA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C20117" w:rsidRDefault="009E7FCD" w:rsidP="00A42FB7">
            <w:pPr>
              <w:jc w:val="both"/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9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-053688_QID_69F03165_UID_-3F171EB0&amp;layout=TIME,C,X,0;GEO,C,Y,0;SECTFUND,C,Y,1;UNIT,C,Z,0;SECTPERF,C,Z,1;INDICATORS,C,Z,2;&amp;zSelection=DS-053688SECTPERF,TOTAL;DS-053688INDICATORS,OBS_FLAG;DS-053688UNIT,PC_GDP;&amp;rankName1=UNIT_1_2_-1_2&amp;rankName2=INDICATORS_1_2_-1_2&amp;rankName3=SECTPERF_1_2_1_0&amp;rankName4=TIME_1_0_0_0&amp;rankName5=GEO_1_2_0_1&amp;rankName6=SECTFUND_1_2_1_1&amp;sortC=ASC_-1_FIRST&amp;rStp=&amp;cStp=&amp;rDCh=&amp;cDCh=&amp;rDM=true&amp;cDM=true&amp;footnes=true&amp;empty=false&amp;wai=false&amp;time_mode=ROLLING&amp;time_most_recent=true&amp;lang=EN&amp;cfo=%23%23%23.%23%23%23%2C%23%23%23</w:t>
              </w:r>
            </w:hyperlink>
          </w:p>
          <w:p w:rsidR="00C20117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SECTFUND: BES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Business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enterprise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), GOV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Government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), HES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Higher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education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), PNP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Private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non-profit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), ABR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Abroad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PC_GDP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gross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domestic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GEO: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EU27,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>Duomenys</w:t>
            </w:r>
            <w: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>gaunami</w:t>
            </w:r>
            <w: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>iš</w:t>
            </w:r>
            <w: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>statistinio</w:t>
            </w:r>
            <w: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tyrimo.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Statistinio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tyrimo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tiriamoji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visuma (populiacija) apima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visų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nuosavybės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formų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veikiančius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ūkio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subjektus, t. y. į MTEP statistiką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turi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būti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įtraukiami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visi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galintys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vykdyti MTEP veiklą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vienetai, priskirti EVRK 2 red. A–U sekcijoms. Siekiant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optimizuoti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tiriamų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parametrų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vertinimą,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tyrimo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visuma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skirstoma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pagal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institucinių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sektorių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klasifikaciją. Skaičiavimo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metodika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hyperlink r:id="rId10" w:history="1">
              <w:r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https://osp.stat.gov.lt/documents/10180/495238/MTEP_metodikos_priedas_20140122.pdf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rd_e_gerdfund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Lietuvos statistikos departamentas.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Indėlio į mokslą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2000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2.2. </w:t>
      </w:r>
      <w:r w:rsidRPr="00A70795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Tyrėjų dalis, nuo visų dirbančiųjų (viso etato ekvivalentu) ir pagal sektorius (aukštojo mokslo ir valdžios, verslo);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Visų tyrėjų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etato ekvivalentu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(pagal sektorius)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visų dirbančiųjų etato ekvivalentu santykis.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išteklius, reikalingus mokslo sistemai veikti ir tikslams pasiekti.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  <w:hyperlink r:id="rId11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-057358_QID_-713EA6CA_UID_-3F171EB0&amp;layout=TIME,C,X,0;GEO,B,Y,0;SEX,B,Z,0;PROF_POS,B,Z,1;SECTPERF,B,Z,2;UNIT,B,Z,3;INDICATORS,C,Z,4;&amp;zSelection=DS-057358UNIT,PC_EMP_FTE;DS-057358SEX,T;DS-057358PROF_POS,RSE;DS-057358SECTPERF,TOTAL;DS-057358INDICATORS,OBS_FLAG;&amp;rankName1=UNIT_1_2_-1_2&amp;rankName2=INDICATORS_1_2_-1_2&amp;rankName3=PROF-POS_1_2_-1_2&amp;rankName4=SEX_1_2_-1_2&amp;rankName5=SECTPERF_1_2_-1_2&amp;rankName6=TIME_1_0_0_0&amp;rankName7=GEO_1_0_0_1&amp;sortR=ASC_-1_FIRST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CC1C9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C1C9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CC1C9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PROF_POS: RSE (</w:t>
            </w:r>
            <w:proofErr w:type="spellStart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Researchers</w:t>
            </w:r>
            <w:proofErr w:type="spellEnd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CC1C9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 w:rsidRPr="00CC1C9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</w:t>
            </w:r>
            <w:r w:rsidRPr="00CC1C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BES (Business enterprise sector), GOV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Government sector) </w:t>
            </w:r>
            <w:proofErr w:type="spellStart"/>
            <w:r w:rsidRPr="00975FE0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C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HES (</w:t>
            </w:r>
            <w:r w:rsidRPr="00CC1C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Higher education sector)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PC_EMP_FTE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employment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numerator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full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equivalent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SEX: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GEO: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EU27,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LT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rd_p_perslf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 Lietuvos statistikos departamentas.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Indėlio į mokslą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1997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C20117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</w:p>
    <w:p w:rsidR="00C20117" w:rsidRPr="00291F14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2.3. </w:t>
      </w:r>
      <w:r w:rsidRPr="00291F14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Naujai mokslų daktaro laipsnį apsigynusių asmenų skaičius tūkstančiui gyventojų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aktaro laipsnį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įgijusių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santykis tūkstančiui gyventojų.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išteklius, reikalingus mokslo sistemai veikti ir tikslams pasiekti.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Santykis tūkst. gyventojų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  <w:hyperlink r:id="rId12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-646039_QID_-78C6EB1B_UID_-3F171EB0&amp;layout=TIME,C,X,0;GEO,C,Y,0;UNIT,C,Z,0;SEX,C,Z,1;AGE,C,Z,2;INDICATORS,C,Z,3;&amp;zSelection=DS-646039UNIT,P_THAB;DS-646039AGE,TOTAL;DS-646039SEX,T;DS-646039INDICATORS,OBS_FLAG;&amp;rankName1=UNIT_1_2_-1_2&amp;rankName2=AGE_1_2_-1_2&amp;rankName3=INDICATORS_1_2_-1_2&amp;rankName4=SEX_1_2_-1_2&amp;rankName5=TIME_1_0_0_0&amp;rankName6=GEO_1_2_0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UNIT: P_THAB (Per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thousand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inhabitants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SEX: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Total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GEO: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EU27,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LT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Eurostatas, educ_uoe_grad06. Lietuvos statistikos departamentas. Nacionalinė švietimo agentūra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Indėlio į mokslą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2013 m.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duomenys skelbiami po 2,5 metų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39414C" w:rsidRDefault="00C20117" w:rsidP="00A42FB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27.</w:t>
            </w:r>
          </w:p>
        </w:tc>
      </w:tr>
    </w:tbl>
    <w:p w:rsidR="00C20117" w:rsidRPr="00547218" w:rsidRDefault="00C20117" w:rsidP="00C20117">
      <w:pPr>
        <w:pStyle w:val="Antrat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Mokslo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procesų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rodikliai</w:t>
      </w:r>
      <w:proofErr w:type="spellEnd"/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3.1. Išlaidos MTEP pagal vykdytojus kaip BVP dalis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Išlaidos MTEP iš viso ir pagal sektorius (verslo, valdžios, aukštojo mokslo, ne pelno institucijų) palyginti su BVP.</w:t>
            </w:r>
          </w:p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Parodo priežastiniais ryšiais susijusių mokslo sistemos pokyčių eigą.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975FE0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Generuojami 5 rodikliai:</w:t>
            </w:r>
          </w:p>
          <w:p w:rsidR="00C20117" w:rsidRPr="00975FE0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  <w:hyperlink r:id="rId13" w:history="1">
              <w:r w:rsidR="00C20117" w:rsidRPr="00975FE0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-053382_QID_50D62F62_UID_-3F171EB0&amp;layout=TIME,C,X,0;GEO,C,Y,0;SECTPERF,C,Y,1;UNIT,C,Z,0;INDICATORS,C,Z,1;&amp;zSelection=DS-053382INDICATORS,OBS_FLAG;DS-053382UNIT,PC_GDP;&amp;rankName1=INDICATORS_1_2_-1_2&amp;rankName2=UNIT_1_2_0_0&amp;rankName3=TIME_1_0_0_0&amp;rankName4=GEO_1_2_0_1&amp;rankName5=SECTPERF_1_2_1_1&amp;sortC=ASC_-</w:t>
              </w:r>
              <w:r w:rsidR="00C20117" w:rsidRPr="00975FE0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lastRenderedPageBreak/>
                <w:t>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975FE0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975FE0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), BES (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Business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enterprise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), GOV (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Government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), HES (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Higher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education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), PNP (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Private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non-profit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sector</w:t>
            </w:r>
            <w:proofErr w:type="spellEnd"/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).</w:t>
            </w:r>
          </w:p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975FE0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>GEO: EU27, LT</w:t>
            </w:r>
          </w:p>
          <w:p w:rsidR="00C20117" w:rsidRPr="00975FE0" w:rsidRDefault="00C20117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975FE0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975FE0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Duomenys gaunami iš statistinio tyrimo. </w:t>
            </w:r>
            <w:r w:rsidRPr="00975F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Statistinio tyrimo tiriamoji visuma (populiacija) apima  visų nuosavybės formų veikiančius ūkio subjektus, t. y. į MTEP statistiką turi būti įtraukiami visi galintys vykdyti MTEP veiklą vienetai, priskirti EVRK 2 red. A–U sekcijoms. Siekiant optimizuoti tiriamų parametrų vertinimą, tyrimo visuma skirstoma pagal institucinių sektorių klasifikaciją. Skaičiavimo metodika: </w:t>
            </w:r>
            <w:hyperlink r:id="rId14" w:history="1">
              <w:r w:rsidRPr="00975FE0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https://osp.stat.gov.lt/documents/10180/495238/MTEP_metodikos_priedas_20140122.pdf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Eurostatas,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rd_e_gerdtot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 Lietuvos statistikos departamentas.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procesų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1996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3.2. Darbo sąnaudų išlaidos MTEP kaip BVP dalis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MTEP išlaidų dalis tenkanti darbo sąnaudoms palyginti su BVP.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priežastiniais ryšiais susijusių mokslo sistemos pokyčių eigą.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15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-053686_QID_49766042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TYPECOST: CUR_LC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Labour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costs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PC_GDP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gross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domestic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LT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Duomenys gaunami iš statistinio tyrimo.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Statistinio tyrimo tiriamoji visuma (populiacija) apima  visų nuosavybės formų veikiančius ūkio subjektus, t. y. į MTEP statistiką turi būti įtraukiami visi galintys vykdyti MTEP veiklą vienetai, priskirti EVRK 2 red. A–U sekcijoms. Siekiant optimizuoti tiriamų parametrų vertinimą, tyrimo visuma skirstoma pagal institucinių sektorių klasifikaciją.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Skaičiavimo metodika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hyperlink r:id="rId16" w:history="1">
              <w:r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https://osp.stat.gov.lt/documents/10180/495238/MTEP_metodikos_priedas_20140122.pdf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Eurostatas,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rd_e_gerdcost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 Lietuvos statistikos departamentas.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procesų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1996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Rodiklis palyginamas su visomis MTEP išlaidomis.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3.3. Įrangos išlaidos MTEP kaip BVP dalis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MTEP išlaidų dalis tenkanti darbo sąnaudoms palyginti su BVP.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priežastiniais ryšiais susijusių mokslo sistemos pokyčių eigą.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17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-053686_QID_-15BD6237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TYPECOST: CAP_INST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Capital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instruments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equipment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PC_GDP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gross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domestic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LT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 xml:space="preserve">Duomenys gaunami iš statistinio tyrimo.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Statistinio tyrimo tiriamoji visuma (populiacija) apima  visų nuosavybės formų veikiančius ūkio subjektus, t. y. į MTEP statistiką turi būti įtraukiami visi galintys vykdyti MTEP veiklą vienetai, priskirti EVRK 2 red. A–U sekcijoms. Siekiant optimizuoti tiriamų parametrų vertinimą, tyrimo visuma skirstoma pagal institucinių sektorių kla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sifikaciją. Skaičiavimo metodika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hyperlink r:id="rId18" w:history="1">
              <w:r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https://osp.stat.gov.lt/documents/10180/495238/MTEP_metodikos_priedas_20140122.pdf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rd_e_gerdcost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 Duomenys gaunami iš nacionalinių statistikos tarnybų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procesų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1996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Rodiklis palyginamas su visomis MTEP išlaidomis.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3.4. Žemės ir pastatų išlaidos MTEP kaip BVP dalis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MTEP išlaidų dalis tenkanti darbo sąnaudoms palyginti su BVP.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priežastiniais ryšiais susijusių mokslo sistemos pokyčių eigą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generuojamas:</w:t>
            </w:r>
          </w:p>
          <w:p w:rsidR="00C20117" w:rsidRPr="00547218" w:rsidRDefault="009E7FCD" w:rsidP="00A42FB7">
            <w:pPr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19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-053686_QID_488AA2DC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SECTPERF: TOTAL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sectors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TYPECOST: CAP_LAND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Capital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land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buildings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PC_GDP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Percentage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gross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domestic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LT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Style w:val="Hipersaitas"/>
                <w:rFonts w:ascii="Times New Roman" w:hAnsi="Times New Roman"/>
                <w:sz w:val="24"/>
                <w:szCs w:val="24"/>
                <w:lang w:val="lt-LT" w:eastAsia="en-GB"/>
              </w:rPr>
              <w:t xml:space="preserve">Duomenys gaunami iš statistinio tyrimo.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Statistinio tyrimo tiriamoji visuma (populiacija) apima  visų nuosavybės formų veikiančius ūkio subjektus, t. y. į MTEP statistiką turi būti įtraukiami visi galintys vykdyti MTEP veiklą vienetai, priskirti EVRK 2 red. A–U sekcijoms. Siekiant optimizuoti tiriamų parametrų vertinimą, tyrimo visuma skirstoma pagal institucinių sektorių kla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sifikaciją. Skaičiavimo metodika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hyperlink r:id="rId20" w:history="1">
              <w:r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https://osp.stat.gov.lt/documents/10180/495238/MTEP_metodikos_priedas_20140122.pdf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rd_e_gerdcost</w:t>
            </w:r>
            <w:proofErr w:type="spellEnd"/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procesų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1996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Pasibaigus ataskaitiniam periodui preliminarūs duomenys skelbiami po 11 mėn., galutiniai po 23 mėn.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Rodiklis palyginamas su visomis MTEP išlaidomis.</w:t>
            </w:r>
          </w:p>
        </w:tc>
      </w:tr>
    </w:tbl>
    <w:p w:rsidR="00C20117" w:rsidRPr="00547218" w:rsidRDefault="00C20117" w:rsidP="00C20117">
      <w:pPr>
        <w:pStyle w:val="Antrat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Mokslo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rezultatų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</w:rPr>
        <w:t>rodikliai</w:t>
      </w:r>
      <w:proofErr w:type="spellEnd"/>
    </w:p>
    <w:p w:rsidR="00C20117" w:rsidRPr="00547218" w:rsidRDefault="00C20117" w:rsidP="00C20117">
      <w:pPr>
        <w:pStyle w:val="Antrat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4.1. Lietuvos tyrėjų straipsnių, patenkančių tarp 10 proc. labiausiai cituojamų straipsnių per 10 metų pagal EBPO mokslo kryptis, santykis su visais to paties periodo Lietuvos tyrėjų straipsniais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Clarivate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Analytics </w:t>
      </w:r>
      <w:proofErr w:type="spellStart"/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WoS</w:t>
      </w:r>
      <w:proofErr w:type="spellEnd"/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bazėje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 ataskaitinį 10 metų periodą Lietuvos tyrėjų straipsnių dalis patenkančių tarp 10 proc. labiausiai cituojamų straipsnių pagal EBPO klasifikaciją.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mokslo būvį pasibaigus tam tikram mokslo proceso etapui arba mokslo sukurtą produktą).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Generuojami rodikliai pagal EBPO mokslo kryptis.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Entity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Type: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Research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Areas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period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Min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Max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Schema: OECD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Location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Lithuania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Configureindicators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%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Documents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Top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10%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Benchmarks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Global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Baseline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Baseline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Items</w:t>
            </w:r>
            <w:proofErr w:type="spellEnd"/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Clarivate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Analytics,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Analytics. Lietuvos mokslo taryba.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Rodiklis palyginamas su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ES27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atitinkamose EBPO mokslo kryptyse.</w:t>
            </w:r>
          </w:p>
        </w:tc>
      </w:tr>
    </w:tbl>
    <w:p w:rsidR="00C20117" w:rsidRPr="00547218" w:rsidRDefault="00C20117" w:rsidP="00C20117">
      <w:pPr>
        <w:pStyle w:val="Antrat2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. </w:t>
      </w:r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Lietuvos tyrėjų bendrų publikacijų su bendraautoriais iš užsienio,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Clarivate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Analytics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WoS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ir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Elsevier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 SCOPUS duomenų bazėse,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Lietuvos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tyrėjų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su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bendraautoriais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iš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užsienio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tarptautinių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publikacijų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dalis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tarp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visų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Lietuvos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tyrėjų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publikacijų</w:t>
            </w:r>
            <w:proofErr w:type="spellEnd"/>
            <w:r w:rsidRPr="00272ED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mokslo būvį pasibaigus tam tikram mokslo proceso etapui arba mokslo sukurtą produktą).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Entity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Type: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Research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areas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period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Min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Max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Research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Area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≠ 5 SOCIAL SCIENCES, 6 HUMANITIES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Location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Lithuania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Configure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indicators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% International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Collaborations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Benchmarks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Global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Baseline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Baseline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Items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Rodiklis skaičiuojamas kiekvieniems metams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Clarivate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Analytics,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Analytics. Lietuvos mokslo taryba.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Duomenys atnaujinami reguliariai.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Rodiklis palyginamas su ES</w:t>
            </w: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</w:tr>
    </w:tbl>
    <w:p w:rsidR="00C20117" w:rsidRPr="00547218" w:rsidRDefault="00C20117" w:rsidP="00C20117">
      <w:pPr>
        <w:rPr>
          <w:rFonts w:ascii="Times New Roman" w:hAnsi="Times New Roman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4.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. </w:t>
      </w:r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Lietuvos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tyrėjų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bendrų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viešojo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ir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privataus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sektorių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mokslinių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publikacijų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dalis</w:t>
      </w:r>
      <w:proofErr w:type="spellEnd"/>
      <w:proofErr w:type="gram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nuo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visų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publikacijų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Clarivate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Analytics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WoS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duomenų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bazėje</w:t>
      </w:r>
      <w:proofErr w:type="spellEnd"/>
      <w:r w:rsidRPr="00F31A09">
        <w:rPr>
          <w:rFonts w:ascii="Times New Roman" w:hAnsi="Times New Roman" w:cs="Times New Roman"/>
          <w:b/>
          <w:color w:val="auto"/>
          <w:sz w:val="24"/>
          <w:szCs w:val="24"/>
        </w:rPr>
        <w:t>, proc.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tyrėjų bendrų viešojo ir privataus sektorių mokslinių publikacijų dalis tarp visų publikacijų.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mokslo būvį pasibaigus tam tikram mokslo proceso etapui arba mokslo sukurtą produktą)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Rodiklis generuojamas.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Dataset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Entity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Type: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Regions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period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Min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Max</w:t>
            </w:r>
            <w:proofErr w:type="spellEnd"/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Location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: Lithuania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Configure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indicators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%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Documents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Top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10%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Benchmarks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Global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Baseline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Rodiklis skaičiuojamas kiekvieniems metams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Clarivate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Analytics,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InCites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Analytics. Lietuvos mokslo taryba.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Duomenys atnaujinami reguliariai.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Rodiklis palyginamas su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ES27.</w:t>
            </w:r>
          </w:p>
        </w:tc>
      </w:tr>
    </w:tbl>
    <w:p w:rsidR="00C20117" w:rsidRPr="00547218" w:rsidRDefault="00C20117" w:rsidP="00C20117">
      <w:pPr>
        <w:rPr>
          <w:rFonts w:ascii="Times New Roman" w:hAnsi="Times New Roman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4.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4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 Patentų skaičius milijonui gyventojų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Patentų(EPO, USPTO, JPO) skaičius tenkantis mln. šalies gyventojų.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Parodo mokslo būvį pasibaigus tam tikram mokslo proceso etapui arba mokslo sukurtą produktą)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santykis,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mln. gyventojų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UNIT: P_MHAB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(Per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million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inhabitants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TIME: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EU28, LT</w:t>
            </w:r>
          </w:p>
          <w:p w:rsidR="00C20117" w:rsidRPr="00547218" w:rsidRDefault="009E7FCD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hyperlink r:id="rId21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s://appsso.eurostat.ec.europa.eu/nui/show.do?query=BOOKMARK_DS-063497_QID_60E5FFCD_UID_-3F171EB0&amp;layout=TIME,C,X,0;GEO,B,Y,0;UNIT,B,Z,0;INDICATORS,C,Z,1;&amp;zSelection=DS-063497INDICATORS,OBS_FLAG;DS-063497UNIT,P_MHAB;&amp;rankName1=UNIT_1_2_-1_2&amp;rankName2=INDICATORS_1_2_-1_2&amp;rankName3=TIME_1_0_0_0&amp;rankName4=GEO_1_2_0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pat_td_ntot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EPO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wide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Statistical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Patent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Database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"PATSTAT"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1996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EPO 3–4 metai, USPTO ir triados 7–8 metai pasibaigus ataskaitiniam laikotarpiui.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ES28.</w:t>
            </w:r>
          </w:p>
        </w:tc>
      </w:tr>
    </w:tbl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C20117" w:rsidRPr="00547218" w:rsidRDefault="00C20117" w:rsidP="00C20117">
      <w:pPr>
        <w:pStyle w:val="Antrat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4.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5</w:t>
      </w:r>
      <w:r w:rsidRPr="00547218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 Vidutinių ir aukštųjų technologijų gamybos apimtis, proc. nuo visos gamybos.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7784"/>
      </w:tblGrid>
      <w:tr w:rsidR="00C20117" w:rsidRPr="00547218" w:rsidTr="00A42FB7"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77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eastAsiaTheme="majorEastAsia" w:hAnsi="Times New Roman"/>
                <w:b/>
                <w:bCs/>
                <w:color w:val="5B9BD5" w:themeColor="accent1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Vidutinių ir aukštųjų technologijų gamybos apimties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(mln. €) ir visos gamybos apimties (mln. €) santykis.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vienetai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metodas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Skaičiuojamas santykis tarp C_HTC_M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ir C ir dauginama iš 100.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Pasirenkami filtrai: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INDIC_SB: V12120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Production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value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–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million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euro)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NACE_R2:C_HTC_M 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Medium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high-technology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manufacturing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), C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Manufacturing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TIME</w:t>
            </w:r>
          </w:p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GEO: EU2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LT</w:t>
            </w:r>
          </w:p>
          <w:p w:rsidR="00C20117" w:rsidRPr="00547218" w:rsidRDefault="009E7FCD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hyperlink r:id="rId22" w:history="1">
              <w:r w:rsidR="00C20117" w:rsidRPr="0054721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en-GB"/>
                </w:rPr>
                <w:t>https://appsso.eurostat.ec.europa.eu/nui/show.do?query=BOOKMARK_DS-163140_QID_18E8C86F_UID_-3F171EB0&amp;layout=TIME,C,X,0;GEO,B,Y,0;NACE_R2,B,Y,1;INDIC_SB,B,Z,0;CURRENCY,B,Z,1;INDICATORS,C,Z,2;&amp;zSelection=DS-163140INDICATORS,OBS_FLAG;DS-163140INDIC_SB,V12120;DS-163140CURRENCY,MIO_EUR;&amp;rankName1=CURRENCY_1_2_-1_2&amp;rankName2=INDICATORS_1_2_-1_2&amp;rankName3=INDIC-SB_1_2_-1_2&amp;rankName4=TIME_1_0_0_0&amp;rankName5=GEO_1_2_0_1&amp;rankName6=NACE-R2_1_2_1_1&amp;sortC=ASC_-1_FIRST&amp;rStp=&amp;cStp=&amp;rDCh=&amp;cDCh=&amp;rDM=true&amp;cDM=true&amp;footnes=false&amp;empty=false&amp;wai=false&amp;time_mode=ROLLING&amp;time_most_recent=true&amp;lang=EN&amp;cfo=%23%23%23.%23%23%23%2C%23%23%23</w:t>
              </w:r>
            </w:hyperlink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šaltinis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Eurostat</w:t>
            </w:r>
            <w:proofErr w:type="spellEnd"/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, htec_eco_sbs2.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Duomenys gaunami iš nacionalinių statistikos tarnybų.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rodikliai</w:t>
            </w:r>
          </w:p>
        </w:tc>
      </w:tr>
      <w:tr w:rsidR="00C20117" w:rsidRPr="00547218" w:rsidTr="00A42FB7">
        <w:tc>
          <w:tcPr>
            <w:tcW w:w="41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Kiekvienais metais. Lietuvos duomenys pateikiami nuo 2008 m.</w:t>
            </w:r>
          </w:p>
          <w:p w:rsidR="00C20117" w:rsidRPr="00547218" w:rsidRDefault="00C20117" w:rsidP="00A42F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ar-SA"/>
              </w:rPr>
              <w:t>2019 m. pateikiami 2014 m. duomenys.</w:t>
            </w:r>
          </w:p>
        </w:tc>
      </w:tr>
      <w:tr w:rsidR="00C20117" w:rsidRPr="00547218" w:rsidTr="00A42FB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Rodiklio palyginamumas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17" w:rsidRPr="00547218" w:rsidRDefault="00C20117" w:rsidP="00A42FB7">
            <w:pPr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Lietuvos rodiklis palyginamas su ES2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54721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C20117" w:rsidRPr="00471DDF" w:rsidRDefault="00C20117" w:rsidP="00C20117">
      <w:pPr>
        <w:rPr>
          <w:rFonts w:ascii="Times New Roman" w:hAnsi="Times New Roman"/>
          <w:sz w:val="24"/>
          <w:szCs w:val="24"/>
          <w:lang w:val="lt-LT"/>
        </w:rPr>
      </w:pPr>
    </w:p>
    <w:p w:rsidR="00C20117" w:rsidRDefault="00C20117"/>
    <w:sectPr w:rsidR="00C20117" w:rsidSect="00EC69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D"/>
    <w:rsid w:val="0007205B"/>
    <w:rsid w:val="000B578C"/>
    <w:rsid w:val="00394F7F"/>
    <w:rsid w:val="003E58EF"/>
    <w:rsid w:val="00531D7D"/>
    <w:rsid w:val="00636959"/>
    <w:rsid w:val="0077582F"/>
    <w:rsid w:val="00784052"/>
    <w:rsid w:val="00884D09"/>
    <w:rsid w:val="009E7FCD"/>
    <w:rsid w:val="00A1133B"/>
    <w:rsid w:val="00B8690E"/>
    <w:rsid w:val="00C20117"/>
    <w:rsid w:val="00C44663"/>
    <w:rsid w:val="00DA620F"/>
    <w:rsid w:val="00EA580A"/>
    <w:rsid w:val="00EC696B"/>
    <w:rsid w:val="00FE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476C"/>
  <w15:docId w15:val="{A06D7A00-CE35-48DB-8533-FC3169F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1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20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2011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31D7D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31D7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531D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31D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basedOn w:val="prastasis"/>
    <w:next w:val="Paantrat"/>
    <w:link w:val="PaantratDiagrama"/>
    <w:qFormat/>
    <w:rsid w:val="00531D7D"/>
    <w:pPr>
      <w:jc w:val="center"/>
    </w:pPr>
    <w:rPr>
      <w:rFonts w:eastAsiaTheme="minorHAnsi" w:cstheme="minorBidi"/>
      <w:b/>
      <w:bCs/>
      <w:sz w:val="22"/>
      <w:szCs w:val="22"/>
    </w:rPr>
  </w:style>
  <w:style w:type="paragraph" w:styleId="Pagrindiniotekstotrauka2">
    <w:name w:val="Body Text Indent 2"/>
    <w:basedOn w:val="prastasis"/>
    <w:link w:val="Pagrindiniotekstotrauka2Diagrama"/>
    <w:rsid w:val="00531D7D"/>
    <w:pPr>
      <w:ind w:firstLine="1247"/>
    </w:pPr>
    <w:rPr>
      <w:rFonts w:ascii="Times New Roman" w:hAnsi="Times New Roman"/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31D7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antratDiagrama">
    <w:name w:val="Paantraštė Diagrama"/>
    <w:link w:val="a"/>
    <w:rsid w:val="00531D7D"/>
    <w:rPr>
      <w:rFonts w:ascii="HelveticaLT" w:hAnsi="HelveticaLT"/>
      <w:b/>
      <w:bCs/>
      <w:lang w:val="en-GB"/>
    </w:rPr>
  </w:style>
  <w:style w:type="paragraph" w:styleId="Paantrat">
    <w:name w:val="Subtitle"/>
    <w:basedOn w:val="prastasis"/>
    <w:next w:val="prastasis"/>
    <w:link w:val="PaantratDiagrama1"/>
    <w:uiPriority w:val="11"/>
    <w:qFormat/>
    <w:rsid w:val="00531D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1">
    <w:name w:val="Paantraštė Diagrama1"/>
    <w:basedOn w:val="Numatytasispastraiposriftas"/>
    <w:link w:val="Paantrat"/>
    <w:uiPriority w:val="11"/>
    <w:rsid w:val="00531D7D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Default">
    <w:name w:val="Default"/>
    <w:rsid w:val="00B8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5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58EF"/>
    <w:rPr>
      <w:rFonts w:ascii="Tahoma" w:eastAsia="Times New Roman" w:hAnsi="Tahoma" w:cs="Tahoma"/>
      <w:sz w:val="16"/>
      <w:szCs w:val="16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20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201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Lentelstinklelis">
    <w:name w:val="Table Grid"/>
    <w:basedOn w:val="prastojilentel"/>
    <w:uiPriority w:val="59"/>
    <w:rsid w:val="00C201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20117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20117"/>
    <w:rPr>
      <w:color w:val="605E5C"/>
      <w:shd w:val="clear" w:color="auto" w:fill="E1DFDD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20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20117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error">
    <w:name w:val="error"/>
    <w:basedOn w:val="Numatytasispastraiposriftas"/>
    <w:rsid w:val="00C20117"/>
  </w:style>
  <w:style w:type="character" w:styleId="Perirtashipersaitas">
    <w:name w:val="FollowedHyperlink"/>
    <w:basedOn w:val="Numatytasispastraiposriftas"/>
    <w:uiPriority w:val="99"/>
    <w:semiHidden/>
    <w:unhideWhenUsed/>
    <w:rsid w:val="00C20117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01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011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0117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01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0117"/>
    <w:rPr>
      <w:b/>
      <w:bCs/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20117"/>
  </w:style>
  <w:style w:type="paragraph" w:styleId="Antrats">
    <w:name w:val="header"/>
    <w:basedOn w:val="prastasis"/>
    <w:link w:val="AntratsDiagrama"/>
    <w:uiPriority w:val="99"/>
    <w:unhideWhenUsed/>
    <w:rsid w:val="00C20117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1">
    <w:name w:val="Antraštės Diagrama1"/>
    <w:basedOn w:val="Numatytasispastraiposriftas"/>
    <w:uiPriority w:val="99"/>
    <w:semiHidden/>
    <w:rsid w:val="00C20117"/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20117"/>
  </w:style>
  <w:style w:type="paragraph" w:styleId="Porat">
    <w:name w:val="footer"/>
    <w:basedOn w:val="prastasis"/>
    <w:link w:val="PoratDiagrama"/>
    <w:uiPriority w:val="99"/>
    <w:unhideWhenUsed/>
    <w:rsid w:val="00C20117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C20117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C20117"/>
    <w:pPr>
      <w:spacing w:after="0" w:line="240" w:lineRule="auto"/>
    </w:pPr>
    <w:rPr>
      <w:lang w:val="en-US"/>
    </w:rPr>
  </w:style>
  <w:style w:type="character" w:customStyle="1" w:styleId="normaltextrun">
    <w:name w:val="normaltextrun"/>
    <w:basedOn w:val="Numatytasispastraiposriftas"/>
    <w:rsid w:val="00C20117"/>
  </w:style>
  <w:style w:type="character" w:customStyle="1" w:styleId="eop">
    <w:name w:val="eop"/>
    <w:basedOn w:val="Numatytasispastraiposriftas"/>
    <w:rsid w:val="00C2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so.eurostat.ec.europa.eu/nui/show.do?query=BOOKMARK_DS-146418_QID_7965E181_UID_-3F171EB0&amp;layout=TIME,C,X,0;NACE_R2,L,Y,0;GEO,L,Y,1;SEX,L,Z,0;UNIT,L,Z,1;INDICATORS,C,Z,2;&amp;zSelection=DS-146418UNIT,PC_EMP;DS-146418SEX,T;DS-146418INDICATORS,OBS_FLAG;&amp;rankName1=UNIT_1_2_-1_2&amp;rankName2=INDICATORS_1_2_-1_2&amp;rankName3=SEX_1_2_-1_2&amp;rankName4=TIME_1_0_0_0&amp;rankName5=NACE-R2_1_2_0_1&amp;rankName6=GEO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3" Type="http://schemas.openxmlformats.org/officeDocument/2006/relationships/hyperlink" Target="https://appsso.eurostat.ec.europa.eu/nui/show.do?query=BOOKMARK_DS-053382_QID_50D62F62_UID_-3F171EB0&amp;layout=TIME,C,X,0;GEO,C,Y,0;SECTPERF,C,Y,1;UNIT,C,Z,0;INDICATORS,C,Z,1;&amp;zSelection=DS-053382INDICATORS,OBS_FLAG;DS-053382UNIT,PC_GDP;&amp;rankName1=INDICATORS_1_2_-1_2&amp;rankName2=UNIT_1_2_0_0&amp;rankName3=TIME_1_0_0_0&amp;rankName4=GEO_1_2_0_1&amp;rankName5=SECTPERF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8" Type="http://schemas.openxmlformats.org/officeDocument/2006/relationships/hyperlink" Target="https://osp.stat.gov.lt/documents/10180/495238/MTEP_metodikos_priedas_2014012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sso.eurostat.ec.europa.eu/nui/show.do?query=BOOKMARK_DS-063497_QID_60E5FFCD_UID_-3F171EB0&amp;layout=TIME,C,X,0;GEO,B,Y,0;UNIT,B,Z,0;INDICATORS,C,Z,1;&amp;zSelection=DS-063497INDICATORS,OBS_FLAG;DS-063497UNIT,P_MHAB;&amp;rankName1=UNIT_1_2_-1_2&amp;rankName2=INDICATORS_1_2_-1_2&amp;rankName3=TIME_1_0_0_0&amp;rankName4=GEO_1_2_0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7" Type="http://schemas.openxmlformats.org/officeDocument/2006/relationships/hyperlink" Target="https://appsso.eurostat.ec.europa.eu/nui/show.do?query=BOOKMARK_DS-056996_QID_4C8C59B9_UID_-3F171EB0&amp;layout=TIME,C,X,0;GEO,L,Y,0;UNIT,L,Z,0;INDICATORS,C,Z,1;&amp;zSelection=DS-056996INDICATORS,OBS_FLAG;DS-056996UNIT,PC;&amp;rankName1=UNIT_1_2_-1_2&amp;rankName2=INDICATORS_1_2_-1_2&amp;rankName3=TIME_1_0_0_0&amp;rankName4=GEO_1_2_0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2" Type="http://schemas.openxmlformats.org/officeDocument/2006/relationships/hyperlink" Target="https://appsso.eurostat.ec.europa.eu/nui/show.do?query=BOOKMARK_DS-646039_QID_-78C6EB1B_UID_-3F171EB0&amp;layout=TIME,C,X,0;GEO,C,Y,0;UNIT,C,Z,0;SEX,C,Z,1;AGE,C,Z,2;INDICATORS,C,Z,3;&amp;zSelection=DS-646039UNIT,P_THAB;DS-646039AGE,TOTAL;DS-646039SEX,T;DS-646039INDICATORS,OBS_FLAG;&amp;rankName1=UNIT_1_2_-1_2&amp;rankName2=AGE_1_2_-1_2&amp;rankName3=INDICATORS_1_2_-1_2&amp;rankName4=SEX_1_2_-1_2&amp;rankName5=TIME_1_0_0_0&amp;rankName6=GEO_1_2_0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7" Type="http://schemas.openxmlformats.org/officeDocument/2006/relationships/hyperlink" Target="https://appsso.eurostat.ec.europa.eu/nui/show.do?query=BOOKMARK_DS-053686_QID_-15BD6237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p.stat.gov.lt/documents/10180/495238/MTEP_metodikos_priedas_20140122.pdf" TargetMode="External"/><Relationship Id="rId20" Type="http://schemas.openxmlformats.org/officeDocument/2006/relationships/hyperlink" Target="https://osp.stat.gov.lt/documents/10180/495238/MTEP_metodikos_priedas_201401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sso.eurostat.ec.europa.eu/nui/show.do?query=BOOKMARK_DS-591613_QID_4E8BE01E_UID_-3F171EB0&amp;layout=TIME,C,X,0;AGE,B,Y,0;GEO,B,Y,1;SEX,B,Z,0;UNIT,B,Z,1;ISCED11,B,Z,2;INDICATORS,C,Z,3;&amp;zSelection=DS-591613SEX,T;DS-591613UNIT,PC;DS-591613ISCED11,ED5-8;DS-591613INDICATORS,OBS_FLAG;&amp;rankName1=ISCED11_1_2_-1_2&amp;rankName2=UNIT_1_2_-1_2&amp;rankName3=INDICATORS_1_2_-1_2&amp;rankName4=SEX_1_2_-1_2&amp;rankName5=TIME_1_0_0_0&amp;rankName6=AGE_1_2_0_1&amp;rankName7=GEO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1" Type="http://schemas.openxmlformats.org/officeDocument/2006/relationships/hyperlink" Target="https://appsso.eurostat.ec.europa.eu/nui/show.do?query=BOOKMARK_DS-057358_QID_-713EA6CA_UID_-3F171EB0&amp;layout=TIME,C,X,0;GEO,B,Y,0;SEX,B,Z,0;PROF_POS,B,Z,1;SECTPERF,B,Z,2;UNIT,B,Z,3;INDICATORS,C,Z,4;&amp;zSelection=DS-057358UNIT,PC_EMP_FTE;DS-057358SEX,T;DS-057358PROF_POS,RSE;DS-057358SECTPERF,TOTAL;DS-057358INDICATORS,OBS_FLAG;&amp;rankName1=UNIT_1_2_-1_2&amp;rankName2=INDICATORS_1_2_-1_2&amp;rankName3=PROF-POS_1_2_-1_2&amp;rankName4=SEX_1_2_-1_2&amp;rankName5=SECTPERF_1_2_-1_2&amp;rankName6=TIME_1_0_0_0&amp;rankName7=GEO_1_0_0_1&amp;sortR=ASC_-1_FIRST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ppsso.eurostat.ec.europa.eu/nui/show.do?query=BOOKMARK_DS-406763_QID_-45481BAD_UID_-3F171EB0&amp;layout=TIME,C,X,0;GEO,B,Y,0;UNIT,B,Z,0;NA_ITEM,B,Z,1;INDICATORS,C,Z,2;&amp;zSelection=DS-406763UNIT,CLV_PCH_PRE;DS-406763INDICATORS,OBS_FLAG;DS-406763NA_ITEM,B1GQ;&amp;rankName1=UNIT_1_2_-1_2&amp;rankName2=INDICATORS_1_2_-1_2&amp;rankName3=NA-ITEM_1_2_-1_2&amp;rankName4=TIME_1_0_0_0&amp;rankName5=GEO_1_2_0_1&amp;ppcRK=FIRST&amp;ppcSO=ASC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15" Type="http://schemas.openxmlformats.org/officeDocument/2006/relationships/hyperlink" Target="https://appsso.eurostat.ec.europa.eu/nui/show.do?query=BOOKMARK_DS-053686_QID_49766042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sp.stat.gov.lt/documents/10180/495238/MTEP_metodikos_priedas_20140122.pdf" TargetMode="External"/><Relationship Id="rId19" Type="http://schemas.openxmlformats.org/officeDocument/2006/relationships/hyperlink" Target="https://appsso.eurostat.ec.europa.eu/nui/show.do?query=BOOKMARK_DS-053686_QID_488AA2DC_UID_-3F171EB0&amp;layout=TIME,C,X,0;GEO,B,Y,0;TYPECOST,B,Y,1;SECTPERF,B,Z,0;UNIT,B,Z,1;INDICATORS,C,Z,2;&amp;zSelection=DS-053686INDICATORS,OBS_FLAG;DS-053686SECTPERF,TOTAL;DS-053686UNIT,PC_GDP;&amp;rankName1=UNIT_1_2_-1_2&amp;rankName2=INDICATORS_1_2_-1_2&amp;rankName3=SECTPERF_1_2_-1_2&amp;rankName4=TIME_1_0_0_0&amp;rankName5=GEO_1_2_0_1&amp;rankName6=TYPECOST_1_2_1_1&amp;sortC=ASC_-1_FIRST&amp;rStp=&amp;cStp=&amp;rDCh=&amp;cDCh=&amp;rDM=true&amp;cDM=true&amp;footnes=false&amp;empty=false&amp;wai=false&amp;time_mode=ROLLING&amp;time_most_recent=true&amp;lang=EN&amp;cfo=%23%23%23.%23%23%23%2C%23%23%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ppsso.eurostat.ec.europa.eu/nui/show.do?query=BOOKMARK_DS-053688_QID_69F03165_UID_-3F171EB0&amp;layout=TIME,C,X,0;GEO,C,Y,0;SECTFUND,C,Y,1;UNIT,C,Z,0;SECTPERF,C,Z,1;INDICATORS,C,Z,2;&amp;zSelection=DS-053688SECTPERF,TOTAL;DS-053688INDICATORS,OBS_FLAG;DS-053688UNIT,PC_GDP;&amp;rankName1=UNIT_1_2_-1_2&amp;rankName2=INDICATORS_1_2_-1_2&amp;rankName3=SECTPERF_1_2_1_0&amp;rankName4=TIME_1_0_0_0&amp;rankName5=GEO_1_2_0_1&amp;rankName6=SECTFUND_1_2_1_1&amp;sortC=ASC_-1_FIRST&amp;rStp=&amp;cStp=&amp;rDCh=&amp;cDCh=&amp;rDM=true&amp;cDM=true&amp;footnes=true&amp;empty=false&amp;wai=false&amp;time_mode=ROLLING&amp;time_most_recent=true&amp;lang=EN&amp;cfo=%23%23%23.%23%23%23%2C%23%23%23" TargetMode="External"/><Relationship Id="rId14" Type="http://schemas.openxmlformats.org/officeDocument/2006/relationships/hyperlink" Target="https://osp.stat.gov.lt/documents/10180/495238/MTEP_metodikos_priedas_20140122.pdf" TargetMode="External"/><Relationship Id="rId22" Type="http://schemas.openxmlformats.org/officeDocument/2006/relationships/hyperlink" Target="https://appsso.eurostat.ec.europa.eu/nui/show.do?query=BOOKMARK_DS-163140_QID_18E8C86F_UID_-3F171EB0&amp;layout=TIME,C,X,0;GEO,B,Y,0;NACE_R2,B,Y,1;INDIC_SB,B,Z,0;CURRENCY,B,Z,1;INDICATORS,C,Z,2;&amp;zSelection=DS-163140INDICATORS,OBS_FLAG;DS-163140INDIC_SB,V12120;DS-163140CURRENCY,MIO_EUR;&amp;rankName1=CURRENCY_1_2_-1_2&amp;rankName2=INDICATORS_1_2_-1_2&amp;rankName3=INDIC-SB_1_2_-1_2&amp;rankName4=TIME_1_0_0_0&amp;rankName5=GEO_1_2_0_1&amp;rankName6=NACE-R2_1_2_1_1&amp;sortC=ASC_-1_FIRST&amp;rStp=&amp;cStp=&amp;rDCh=&amp;cDCh=&amp;rDM=true&amp;cDM=true&amp;footnes=false&amp;empty=false&amp;wai=false&amp;time_mode=ROLLING&amp;time_most_recent=true&amp;lang=EN&amp;cfo=%23%23%23.%23%23%23%2C%23%23%2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22067</Words>
  <Characters>12579</Characters>
  <Application>Microsoft Office Word</Application>
  <DocSecurity>0</DocSecurity>
  <Lines>104</Lines>
  <Paragraphs>69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Kostigova</dc:creator>
  <cp:lastModifiedBy>Vaida Kostigova</cp:lastModifiedBy>
  <cp:revision>3</cp:revision>
  <dcterms:created xsi:type="dcterms:W3CDTF">2020-11-26T14:48:00Z</dcterms:created>
  <dcterms:modified xsi:type="dcterms:W3CDTF">2020-11-26T14:52:00Z</dcterms:modified>
</cp:coreProperties>
</file>